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091E0" w14:textId="51E79BA9" w:rsidR="00E559D8" w:rsidRPr="003C02B4" w:rsidRDefault="00C174A4" w:rsidP="00352828">
      <w:pPr>
        <w:jc w:val="both"/>
        <w:rPr>
          <w:rFonts w:ascii="Arial" w:hAnsi="Arial" w:cs="Arial"/>
          <w:b/>
          <w:bCs/>
          <w:caps/>
          <w:sz w:val="24"/>
          <w:szCs w:val="24"/>
          <w:shd w:val="clear" w:color="auto" w:fill="FFFFFF"/>
        </w:rPr>
      </w:pPr>
      <w:r>
        <w:rPr>
          <w:rFonts w:ascii="Arial" w:hAnsi="Arial" w:cs="Arial"/>
          <w:b/>
          <w:bCs/>
          <w:caps/>
          <w:sz w:val="24"/>
          <w:szCs w:val="24"/>
          <w:shd w:val="clear" w:color="auto" w:fill="FFFFFF"/>
        </w:rPr>
        <w:t xml:space="preserve">9. </w:t>
      </w:r>
      <w:r w:rsidR="009A633C" w:rsidRPr="003C02B4">
        <w:rPr>
          <w:rFonts w:ascii="Arial" w:hAnsi="Arial" w:cs="Arial"/>
          <w:b/>
          <w:bCs/>
          <w:caps/>
          <w:sz w:val="24"/>
          <w:szCs w:val="24"/>
          <w:shd w:val="clear" w:color="auto" w:fill="FFFFFF"/>
        </w:rPr>
        <w:t>REGISTRO DE INSTITUIÇÃO DE CONDOMÍNIO DE LOTES</w:t>
      </w:r>
    </w:p>
    <w:p w14:paraId="304EE46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b/>
          <w:bCs/>
          <w:kern w:val="0"/>
          <w:sz w:val="24"/>
          <w:szCs w:val="24"/>
          <w:lang w:eastAsia="pt-BR"/>
          <w14:ligatures w14:val="none"/>
        </w:rPr>
      </w:pPr>
      <w:r w:rsidRPr="003C02B4">
        <w:rPr>
          <w:rFonts w:ascii="Arial" w:eastAsia="Times New Roman" w:hAnsi="Arial" w:cs="Arial"/>
          <w:b/>
          <w:bCs/>
          <w:kern w:val="0"/>
          <w:sz w:val="24"/>
          <w:szCs w:val="24"/>
          <w:lang w:eastAsia="pt-BR"/>
          <w14:ligatures w14:val="none"/>
        </w:rPr>
        <w:t>RELAÇÃO DE DOCUMENTOS NECESSÁRIOS PARA REGISTRO DE INSTITUIÇÃO E ESPECIFICAÇÃO DE CONDOMÍNIO E INDIVIDUALIZAÇÃO DE CONDOMÍNIO DE LOTES:</w:t>
      </w:r>
    </w:p>
    <w:p w14:paraId="5D9CD8D9" w14:textId="75461E5B"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proofErr w:type="gramStart"/>
      <w:r w:rsidRPr="003C02B4">
        <w:rPr>
          <w:rFonts w:ascii="Arial" w:eastAsia="Times New Roman" w:hAnsi="Arial" w:cs="Arial"/>
          <w:i/>
          <w:iCs/>
          <w:kern w:val="0"/>
          <w:sz w:val="24"/>
          <w:szCs w:val="24"/>
          <w:lang w:eastAsia="pt-BR"/>
          <w14:ligatures w14:val="none"/>
        </w:rPr>
        <w:t xml:space="preserve">Atualizada </w:t>
      </w:r>
      <w:r w:rsidR="009855E4" w:rsidRPr="003C02B4">
        <w:rPr>
          <w:rFonts w:ascii="Arial" w:eastAsia="Times New Roman" w:hAnsi="Arial" w:cs="Arial"/>
          <w:i/>
          <w:iCs/>
          <w:kern w:val="0"/>
          <w:sz w:val="24"/>
          <w:szCs w:val="24"/>
          <w:lang w:eastAsia="pt-BR"/>
          <w14:ligatures w14:val="none"/>
        </w:rPr>
        <w:t xml:space="preserve">março </w:t>
      </w:r>
      <w:r w:rsidRPr="003C02B4">
        <w:rPr>
          <w:rFonts w:ascii="Arial" w:eastAsia="Times New Roman" w:hAnsi="Arial" w:cs="Arial"/>
          <w:i/>
          <w:iCs/>
          <w:kern w:val="0"/>
          <w:sz w:val="24"/>
          <w:szCs w:val="24"/>
          <w:lang w:eastAsia="pt-BR"/>
          <w14:ligatures w14:val="none"/>
        </w:rPr>
        <w:t>202</w:t>
      </w:r>
      <w:r w:rsidR="009855E4" w:rsidRPr="003C02B4">
        <w:rPr>
          <w:rFonts w:ascii="Arial" w:eastAsia="Times New Roman" w:hAnsi="Arial" w:cs="Arial"/>
          <w:i/>
          <w:iCs/>
          <w:kern w:val="0"/>
          <w:sz w:val="24"/>
          <w:szCs w:val="24"/>
          <w:lang w:eastAsia="pt-BR"/>
          <w14:ligatures w14:val="none"/>
        </w:rPr>
        <w:t>3</w:t>
      </w:r>
      <w:proofErr w:type="gramEnd"/>
    </w:p>
    <w:p w14:paraId="6537D4B9" w14:textId="219DA4E1"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 A presente relação foi elaborada visando facilitar a juntada dos documentos necessários ao registro de instituição e especificação de condomínio e individualização de lotes e reproduz exigências contidas na Lei nº 4.591/64, nos </w:t>
      </w:r>
      <w:proofErr w:type="spellStart"/>
      <w:r w:rsidRPr="003C02B4">
        <w:rPr>
          <w:rFonts w:ascii="Arial" w:eastAsia="Times New Roman" w:hAnsi="Arial" w:cs="Arial"/>
          <w:kern w:val="0"/>
          <w:sz w:val="24"/>
          <w:szCs w:val="24"/>
          <w:lang w:eastAsia="pt-BR"/>
          <w14:ligatures w14:val="none"/>
        </w:rPr>
        <w:t>arts</w:t>
      </w:r>
      <w:proofErr w:type="spellEnd"/>
      <w:r w:rsidRPr="003C02B4">
        <w:rPr>
          <w:rFonts w:ascii="Arial" w:eastAsia="Times New Roman" w:hAnsi="Arial" w:cs="Arial"/>
          <w:kern w:val="0"/>
          <w:sz w:val="24"/>
          <w:szCs w:val="24"/>
          <w:lang w:eastAsia="pt-BR"/>
          <w14:ligatures w14:val="none"/>
        </w:rPr>
        <w:t xml:space="preserve">. 768 e segs. da Consolidação Notarial e Registral e nos regramentos aplicáveis à espécie, estando em permanente atualização. Portanto, quando o usuário pretender reunir a documentação necessária, deve acessar o </w:t>
      </w:r>
      <w:r w:rsidR="009855E4" w:rsidRPr="003C02B4">
        <w:rPr>
          <w:rFonts w:ascii="Arial" w:eastAsia="Times New Roman" w:hAnsi="Arial" w:cs="Arial"/>
          <w:kern w:val="0"/>
          <w:sz w:val="24"/>
          <w:szCs w:val="24"/>
          <w:lang w:eastAsia="pt-BR"/>
          <w14:ligatures w14:val="none"/>
        </w:rPr>
        <w:t xml:space="preserve">site do </w:t>
      </w:r>
      <w:r w:rsidR="003F4C88" w:rsidRPr="003C02B4">
        <w:rPr>
          <w:rFonts w:ascii="Arial" w:eastAsia="Times New Roman" w:hAnsi="Arial" w:cs="Arial"/>
          <w:kern w:val="0"/>
          <w:sz w:val="24"/>
          <w:szCs w:val="24"/>
          <w:lang w:eastAsia="pt-BR"/>
          <w14:ligatures w14:val="none"/>
        </w:rPr>
        <w:t>Cartório a</w:t>
      </w:r>
      <w:r w:rsidRPr="003C02B4">
        <w:rPr>
          <w:rFonts w:ascii="Arial" w:eastAsia="Times New Roman" w:hAnsi="Arial" w:cs="Arial"/>
          <w:kern w:val="0"/>
          <w:sz w:val="24"/>
          <w:szCs w:val="24"/>
          <w:lang w:eastAsia="pt-BR"/>
          <w14:ligatures w14:val="none"/>
        </w:rPr>
        <w:t xml:space="preserve"> fim de obter a última versão, observando para agilização do seu processo de registro a apresentação de todos os documentos elencados e a ordem estabelecida neste roteiro.</w:t>
      </w:r>
    </w:p>
    <w:p w14:paraId="29E89985"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Para viabilizar a implantação de condomínio de lotes, imperativa a existência de Lei municipal autorizativa.</w:t>
      </w:r>
    </w:p>
    <w:p w14:paraId="5B5654C3" w14:textId="77777777" w:rsidR="009A633C" w:rsidRPr="003C02B4" w:rsidRDefault="009A633C" w:rsidP="00352828">
      <w:pPr>
        <w:numPr>
          <w:ilvl w:val="0"/>
          <w:numId w:val="14"/>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Requerimento ao Oficial do Registro de Imóveis, firmado por todos os proprietários, solicitando nos termos dos </w:t>
      </w:r>
      <w:proofErr w:type="spellStart"/>
      <w:r w:rsidRPr="003C02B4">
        <w:rPr>
          <w:rFonts w:ascii="Arial" w:eastAsia="Times New Roman" w:hAnsi="Arial" w:cs="Arial"/>
          <w:kern w:val="0"/>
          <w:sz w:val="24"/>
          <w:szCs w:val="24"/>
          <w:lang w:eastAsia="pt-BR"/>
          <w14:ligatures w14:val="none"/>
        </w:rPr>
        <w:t>arts</w:t>
      </w:r>
      <w:proofErr w:type="spellEnd"/>
      <w:r w:rsidRPr="003C02B4">
        <w:rPr>
          <w:rFonts w:ascii="Arial" w:eastAsia="Times New Roman" w:hAnsi="Arial" w:cs="Arial"/>
          <w:kern w:val="0"/>
          <w:sz w:val="24"/>
          <w:szCs w:val="24"/>
          <w:lang w:eastAsia="pt-BR"/>
          <w14:ligatures w14:val="none"/>
        </w:rPr>
        <w:t xml:space="preserve">. 7º da Lei nº 4.591/64 e 1.358-A do </w:t>
      </w:r>
      <w:proofErr w:type="spellStart"/>
      <w:r w:rsidRPr="003C02B4">
        <w:rPr>
          <w:rFonts w:ascii="Arial" w:eastAsia="Times New Roman" w:hAnsi="Arial" w:cs="Arial"/>
          <w:kern w:val="0"/>
          <w:sz w:val="24"/>
          <w:szCs w:val="24"/>
          <w:lang w:eastAsia="pt-BR"/>
          <w14:ligatures w14:val="none"/>
        </w:rPr>
        <w:t>NvCC</w:t>
      </w:r>
      <w:proofErr w:type="spellEnd"/>
      <w:r w:rsidRPr="003C02B4">
        <w:rPr>
          <w:rFonts w:ascii="Arial" w:eastAsia="Times New Roman" w:hAnsi="Arial" w:cs="Arial"/>
          <w:kern w:val="0"/>
          <w:sz w:val="24"/>
          <w:szCs w:val="24"/>
          <w:lang w:eastAsia="pt-BR"/>
          <w14:ligatures w14:val="none"/>
        </w:rPr>
        <w:t>, o registro da instituição e especificação de condomínio com individualização das unidades e abertura das respectivas matrículas, bem como o registro da convenção de condomínio, com as firmas reconhecidas (ver modelo no </w:t>
      </w:r>
      <w:r w:rsidRPr="003C02B4">
        <w:rPr>
          <w:rFonts w:ascii="Arial" w:eastAsia="Times New Roman" w:hAnsi="Arial" w:cs="Arial"/>
          <w:i/>
          <w:iCs/>
          <w:kern w:val="0"/>
          <w:sz w:val="24"/>
          <w:szCs w:val="24"/>
          <w:lang w:eastAsia="pt-BR"/>
          <w14:ligatures w14:val="none"/>
        </w:rPr>
        <w:t>site deste Cartório</w:t>
      </w:r>
      <w:r w:rsidRPr="003C02B4">
        <w:rPr>
          <w:rFonts w:ascii="Arial" w:eastAsia="Times New Roman" w:hAnsi="Arial" w:cs="Arial"/>
          <w:kern w:val="0"/>
          <w:sz w:val="24"/>
          <w:szCs w:val="24"/>
          <w:lang w:eastAsia="pt-BR"/>
          <w14:ligatures w14:val="none"/>
        </w:rPr>
        <w:t>).</w:t>
      </w:r>
    </w:p>
    <w:p w14:paraId="19FEA7B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Obs.:</w:t>
      </w:r>
      <w:r w:rsidRPr="003C02B4">
        <w:rPr>
          <w:rFonts w:ascii="Arial" w:eastAsia="Times New Roman" w:hAnsi="Arial" w:cs="Arial"/>
          <w:kern w:val="0"/>
          <w:sz w:val="24"/>
          <w:szCs w:val="24"/>
          <w:lang w:eastAsia="pt-BR"/>
          <w14:ligatures w14:val="none"/>
        </w:rPr>
        <w:t> Se não constar, expressamente, o requerimento de abertura das matrículas, não há problema, porque na individualização, isto é inerente ao processo, decorre da lei.</w:t>
      </w:r>
    </w:p>
    <w:p w14:paraId="5973E586" w14:textId="77777777" w:rsidR="009A633C" w:rsidRPr="003C02B4" w:rsidRDefault="009A633C" w:rsidP="00352828">
      <w:pPr>
        <w:numPr>
          <w:ilvl w:val="0"/>
          <w:numId w:val="15"/>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Projeto arquitetônico – plantas </w:t>
      </w:r>
      <w:proofErr w:type="spellStart"/>
      <w:r w:rsidRPr="003C02B4">
        <w:rPr>
          <w:rFonts w:ascii="Arial" w:eastAsia="Times New Roman" w:hAnsi="Arial" w:cs="Arial"/>
          <w:kern w:val="0"/>
          <w:sz w:val="24"/>
          <w:szCs w:val="24"/>
          <w:lang w:eastAsia="pt-BR"/>
          <w14:ligatures w14:val="none"/>
        </w:rPr>
        <w:t>hidrossanitária</w:t>
      </w:r>
      <w:proofErr w:type="spellEnd"/>
      <w:r w:rsidRPr="003C02B4">
        <w:rPr>
          <w:rFonts w:ascii="Arial" w:eastAsia="Times New Roman" w:hAnsi="Arial" w:cs="Arial"/>
          <w:kern w:val="0"/>
          <w:sz w:val="24"/>
          <w:szCs w:val="24"/>
          <w:lang w:eastAsia="pt-BR"/>
          <w14:ligatures w14:val="none"/>
        </w:rPr>
        <w:t>, elétrica, de cobertura vegetal, se houver e de situação/localização </w:t>
      </w:r>
      <w:r w:rsidRPr="003C02B4">
        <w:rPr>
          <w:rFonts w:ascii="Arial" w:eastAsia="Times New Roman" w:hAnsi="Arial" w:cs="Arial"/>
          <w:i/>
          <w:iCs/>
          <w:kern w:val="0"/>
          <w:sz w:val="24"/>
          <w:szCs w:val="24"/>
          <w:lang w:eastAsia="pt-BR"/>
          <w14:ligatures w14:val="none"/>
        </w:rPr>
        <w:t>com discriminação das áreas privativas e de uso comum,</w:t>
      </w:r>
      <w:r w:rsidRPr="003C02B4">
        <w:rPr>
          <w:rFonts w:ascii="Arial" w:eastAsia="Times New Roman" w:hAnsi="Arial" w:cs="Arial"/>
          <w:kern w:val="0"/>
          <w:sz w:val="24"/>
          <w:szCs w:val="24"/>
          <w:lang w:eastAsia="pt-BR"/>
          <w14:ligatures w14:val="none"/>
        </w:rPr>
        <w:t>-, assinadas pelo profissional responsável, juntamente com o proprietário e com aprovações do Município, contendo as seguintes informações e providências:</w:t>
      </w:r>
    </w:p>
    <w:p w14:paraId="4E3936AC" w14:textId="42E57C7C"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discriminação das frações ideais de terreno com as unidades autônomas que a elas corresponderão, indicando expressamente o critério de sua fixação, se com base (“na quantidade de lotes” OU “no valor dos lotes” ou outro juridicamente possível a ser definido pelos proprietários (art. 32,</w:t>
      </w:r>
      <w:r w:rsidR="00BE3318" w:rsidRPr="003C02B4">
        <w:rPr>
          <w:rFonts w:ascii="Arial" w:eastAsia="Times New Roman" w:hAnsi="Arial" w:cs="Arial"/>
          <w:kern w:val="0"/>
          <w:sz w:val="24"/>
          <w:szCs w:val="24"/>
          <w:lang w:eastAsia="pt-BR"/>
          <w14:ligatures w14:val="none"/>
        </w:rPr>
        <w:t xml:space="preserve"> </w:t>
      </w:r>
      <w:r w:rsidRPr="003C02B4">
        <w:rPr>
          <w:rFonts w:ascii="Arial" w:eastAsia="Times New Roman" w:hAnsi="Arial" w:cs="Arial"/>
          <w:i/>
          <w:iCs/>
          <w:kern w:val="0"/>
          <w:sz w:val="24"/>
          <w:szCs w:val="24"/>
          <w:lang w:eastAsia="pt-BR"/>
          <w14:ligatures w14:val="none"/>
        </w:rPr>
        <w:t>i,</w:t>
      </w:r>
      <w:r w:rsidR="00BE3318" w:rsidRPr="003C02B4">
        <w:rPr>
          <w:rFonts w:ascii="Arial" w:eastAsia="Times New Roman" w:hAnsi="Arial" w:cs="Arial"/>
          <w:i/>
          <w:iCs/>
          <w:kern w:val="0"/>
          <w:sz w:val="24"/>
          <w:szCs w:val="24"/>
          <w:lang w:eastAsia="pt-BR"/>
          <w14:ligatures w14:val="none"/>
        </w:rPr>
        <w:t xml:space="preserve"> </w:t>
      </w:r>
      <w:r w:rsidRPr="003C02B4">
        <w:rPr>
          <w:rFonts w:ascii="Arial" w:eastAsia="Times New Roman" w:hAnsi="Arial" w:cs="Arial"/>
          <w:kern w:val="0"/>
          <w:sz w:val="24"/>
          <w:szCs w:val="24"/>
          <w:lang w:eastAsia="pt-BR"/>
          <w14:ligatures w14:val="none"/>
        </w:rPr>
        <w:t xml:space="preserve">da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w:t>
      </w:r>
    </w:p>
    <w:p w14:paraId="03F33B08" w14:textId="00A0A50B"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b) cálculo das áreas das edificações, discriminando, além da global, a das partes comuns e indicando, para cada tipo de unidade a respectiva metragem de área construída (art. 32,</w:t>
      </w:r>
      <w:r w:rsidR="00BE3318" w:rsidRPr="003C02B4">
        <w:rPr>
          <w:rFonts w:ascii="Arial" w:eastAsia="Times New Roman" w:hAnsi="Arial" w:cs="Arial"/>
          <w:kern w:val="0"/>
          <w:sz w:val="24"/>
          <w:szCs w:val="24"/>
          <w:lang w:eastAsia="pt-BR"/>
          <w14:ligatures w14:val="none"/>
        </w:rPr>
        <w:t xml:space="preserve"> </w:t>
      </w:r>
      <w:r w:rsidR="00BE3318" w:rsidRPr="003C02B4">
        <w:rPr>
          <w:rFonts w:ascii="Arial" w:eastAsia="Times New Roman" w:hAnsi="Arial" w:cs="Arial"/>
          <w:i/>
          <w:iCs/>
          <w:kern w:val="0"/>
          <w:sz w:val="24"/>
          <w:szCs w:val="24"/>
          <w:lang w:eastAsia="pt-BR"/>
          <w14:ligatures w14:val="none"/>
        </w:rPr>
        <w:t>e,</w:t>
      </w:r>
      <w:r w:rsidR="00BE3318" w:rsidRPr="003C02B4">
        <w:rPr>
          <w:rFonts w:ascii="Arial" w:eastAsia="Times New Roman" w:hAnsi="Arial" w:cs="Arial"/>
          <w:kern w:val="0"/>
          <w:sz w:val="24"/>
          <w:szCs w:val="24"/>
          <w:lang w:eastAsia="pt-BR"/>
          <w14:ligatures w14:val="none"/>
        </w:rPr>
        <w:t xml:space="preserve"> da</w:t>
      </w:r>
      <w:r w:rsidRPr="003C02B4">
        <w:rPr>
          <w:rFonts w:ascii="Arial" w:eastAsia="Times New Roman" w:hAnsi="Arial" w:cs="Arial"/>
          <w:kern w:val="0"/>
          <w:sz w:val="24"/>
          <w:szCs w:val="24"/>
          <w:lang w:eastAsia="pt-BR"/>
          <w14:ligatures w14:val="none"/>
        </w:rPr>
        <w:t xml:space="preserve">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w:t>
      </w:r>
    </w:p>
    <w:p w14:paraId="252C4D84" w14:textId="428988B2"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c) avaliação do custo global da obra, atualizada à data do arquivamento, calculada de acordo com a norma do inc. III do art. 53 da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 xml:space="preserve">, com </w:t>
      </w:r>
      <w:r w:rsidRPr="003C02B4">
        <w:rPr>
          <w:rFonts w:ascii="Arial" w:eastAsia="Times New Roman" w:hAnsi="Arial" w:cs="Arial"/>
          <w:kern w:val="0"/>
          <w:sz w:val="24"/>
          <w:szCs w:val="24"/>
          <w:lang w:eastAsia="pt-BR"/>
          <w14:ligatures w14:val="none"/>
        </w:rPr>
        <w:lastRenderedPageBreak/>
        <w:t>base nos custos unitários referidos no art. 54, discriminando-se, também, o custo de construção de cada unidade, devidamente autenticada pelo profissional responsável pela obra (art. 32,</w:t>
      </w:r>
      <w:r w:rsidRPr="003C02B4">
        <w:rPr>
          <w:rFonts w:ascii="Arial" w:eastAsia="Times New Roman" w:hAnsi="Arial" w:cs="Arial"/>
          <w:i/>
          <w:iCs/>
          <w:kern w:val="0"/>
          <w:sz w:val="24"/>
          <w:szCs w:val="24"/>
          <w:lang w:eastAsia="pt-BR"/>
          <w14:ligatures w14:val="none"/>
        </w:rPr>
        <w:t>h,</w:t>
      </w:r>
      <w:r w:rsidRPr="003C02B4">
        <w:rPr>
          <w:rFonts w:ascii="Arial" w:eastAsia="Times New Roman" w:hAnsi="Arial" w:cs="Arial"/>
          <w:kern w:val="0"/>
          <w:sz w:val="24"/>
          <w:szCs w:val="24"/>
          <w:lang w:eastAsia="pt-BR"/>
          <w14:ligatures w14:val="none"/>
        </w:rPr>
        <w:t xml:space="preserve">da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w:t>
      </w:r>
    </w:p>
    <w:p w14:paraId="2FA68FDB" w14:textId="14ACC915"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Vide item 12.1 da NBR-ABNT nº 12721, art. 32, </w:t>
      </w:r>
      <w:r w:rsidRPr="003C02B4">
        <w:rPr>
          <w:rFonts w:ascii="Arial" w:eastAsia="Times New Roman" w:hAnsi="Arial" w:cs="Arial"/>
          <w:i/>
          <w:iCs/>
          <w:kern w:val="0"/>
          <w:sz w:val="24"/>
          <w:szCs w:val="24"/>
          <w:lang w:eastAsia="pt-BR"/>
          <w14:ligatures w14:val="none"/>
        </w:rPr>
        <w:t>d, </w:t>
      </w:r>
      <w:r w:rsidRPr="003C02B4">
        <w:rPr>
          <w:rFonts w:ascii="Arial" w:eastAsia="Times New Roman" w:hAnsi="Arial" w:cs="Arial"/>
          <w:kern w:val="0"/>
          <w:sz w:val="24"/>
          <w:szCs w:val="24"/>
          <w:lang w:eastAsia="pt-BR"/>
          <w14:ligatures w14:val="none"/>
        </w:rPr>
        <w:t xml:space="preserve">da </w:t>
      </w:r>
      <w:r w:rsidR="000D3CC5" w:rsidRPr="003C02B4">
        <w:rPr>
          <w:rFonts w:ascii="Arial" w:eastAsia="Times New Roman" w:hAnsi="Arial" w:cs="Arial"/>
          <w:kern w:val="0"/>
          <w:sz w:val="24"/>
          <w:szCs w:val="24"/>
          <w:lang w:eastAsia="pt-BR"/>
          <w14:ligatures w14:val="none"/>
        </w:rPr>
        <w:t>Lei nº 4.591/64</w:t>
      </w:r>
      <w:r w:rsidRPr="003C02B4">
        <w:rPr>
          <w:rFonts w:ascii="Arial" w:eastAsia="Times New Roman" w:hAnsi="Arial" w:cs="Arial"/>
          <w:kern w:val="0"/>
          <w:sz w:val="24"/>
          <w:szCs w:val="24"/>
          <w:lang w:eastAsia="pt-BR"/>
          <w14:ligatures w14:val="none"/>
        </w:rPr>
        <w:t>, e quadros I, II, III, IV, V, VI, VII e VIII da ABNT – NBR nº 12.721.</w:t>
      </w:r>
    </w:p>
    <w:p w14:paraId="775EBAB1" w14:textId="77777777" w:rsidR="00BE3318" w:rsidRPr="003C02B4" w:rsidRDefault="009A633C" w:rsidP="000E41F8">
      <w:pPr>
        <w:numPr>
          <w:ilvl w:val="0"/>
          <w:numId w:val="34"/>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ART/CREA (Anotação de Responsabilidade Técnica) ou RRT/CAU (Registro de Responsabilidade Técnica) –</w:t>
      </w:r>
      <w:r w:rsidRPr="003C02B4">
        <w:rPr>
          <w:rFonts w:ascii="Arial" w:eastAsia="Times New Roman" w:hAnsi="Arial" w:cs="Arial"/>
          <w:i/>
          <w:iCs/>
          <w:kern w:val="0"/>
          <w:sz w:val="24"/>
          <w:szCs w:val="24"/>
          <w:lang w:eastAsia="pt-BR"/>
          <w14:ligatures w14:val="none"/>
        </w:rPr>
        <w:t>referentes ao projeto, à execução e aos cálculos da NBR 12.721(</w:t>
      </w:r>
      <w:r w:rsidRPr="003C02B4">
        <w:rPr>
          <w:rFonts w:ascii="Arial" w:eastAsia="Times New Roman" w:hAnsi="Arial" w:cs="Arial"/>
          <w:kern w:val="0"/>
          <w:sz w:val="24"/>
          <w:szCs w:val="24"/>
          <w:lang w:eastAsia="pt-BR"/>
          <w14:ligatures w14:val="none"/>
        </w:rPr>
        <w:t>Art. 643 e 768, XIII, CNNR).</w:t>
      </w:r>
    </w:p>
    <w:p w14:paraId="64F2F9EE" w14:textId="0686AB1A" w:rsidR="00BE3318" w:rsidRPr="003C02B4" w:rsidRDefault="009A633C" w:rsidP="000E41F8">
      <w:pPr>
        <w:numPr>
          <w:ilvl w:val="0"/>
          <w:numId w:val="34"/>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Memorial descritivo dos lotes condominiais, contendo as especificações referidas acima em </w:t>
      </w:r>
      <w:proofErr w:type="gramStart"/>
      <w:r w:rsidRPr="003C02B4">
        <w:rPr>
          <w:rFonts w:ascii="Arial" w:eastAsia="Times New Roman" w:hAnsi="Arial" w:cs="Arial"/>
          <w:kern w:val="0"/>
          <w:sz w:val="24"/>
          <w:szCs w:val="24"/>
          <w:lang w:eastAsia="pt-BR"/>
          <w14:ligatures w14:val="none"/>
        </w:rPr>
        <w:t>2,</w:t>
      </w:r>
      <w:r w:rsidRPr="003C02B4">
        <w:rPr>
          <w:rFonts w:ascii="Arial" w:eastAsia="Times New Roman" w:hAnsi="Arial" w:cs="Arial"/>
          <w:i/>
          <w:iCs/>
          <w:kern w:val="0"/>
          <w:sz w:val="24"/>
          <w:szCs w:val="24"/>
          <w:lang w:eastAsia="pt-BR"/>
          <w14:ligatures w14:val="none"/>
        </w:rPr>
        <w:t>‘</w:t>
      </w:r>
      <w:proofErr w:type="gramEnd"/>
      <w:r w:rsidRPr="003C02B4">
        <w:rPr>
          <w:rFonts w:ascii="Arial" w:eastAsia="Times New Roman" w:hAnsi="Arial" w:cs="Arial"/>
          <w:i/>
          <w:iCs/>
          <w:kern w:val="0"/>
          <w:sz w:val="24"/>
          <w:szCs w:val="24"/>
          <w:lang w:eastAsia="pt-BR"/>
          <w14:ligatures w14:val="none"/>
        </w:rPr>
        <w:t>a’</w:t>
      </w:r>
      <w:r w:rsidRPr="003C02B4">
        <w:rPr>
          <w:rFonts w:ascii="Arial" w:eastAsia="Times New Roman" w:hAnsi="Arial" w:cs="Arial"/>
          <w:kern w:val="0"/>
          <w:sz w:val="24"/>
          <w:szCs w:val="24"/>
          <w:lang w:eastAsia="pt-BR"/>
          <w14:ligatures w14:val="none"/>
        </w:rPr>
        <w:t>a </w:t>
      </w:r>
      <w:r w:rsidRPr="003C02B4">
        <w:rPr>
          <w:rFonts w:ascii="Arial" w:eastAsia="Times New Roman" w:hAnsi="Arial" w:cs="Arial"/>
          <w:i/>
          <w:iCs/>
          <w:kern w:val="0"/>
          <w:sz w:val="24"/>
          <w:szCs w:val="24"/>
          <w:lang w:eastAsia="pt-BR"/>
          <w14:ligatures w14:val="none"/>
        </w:rPr>
        <w:t>‘c</w:t>
      </w:r>
      <w:r w:rsidRPr="003C02B4">
        <w:rPr>
          <w:rFonts w:ascii="Arial" w:eastAsia="Times New Roman" w:hAnsi="Arial" w:cs="Arial"/>
          <w:kern w:val="0"/>
          <w:sz w:val="24"/>
          <w:szCs w:val="24"/>
          <w:lang w:eastAsia="pt-BR"/>
          <w14:ligatures w14:val="none"/>
        </w:rPr>
        <w:t>’, inclusive o custo de cada um, contendo declaração do responsável técnico, sob responsabilidade civil e penal, atestando a conformidade do memorial descritivo com o(s)projeto(s) e planta(s) apresentados(s) (ver modelo no </w:t>
      </w:r>
      <w:r w:rsidRPr="003C02B4">
        <w:rPr>
          <w:rFonts w:ascii="Arial" w:eastAsia="Times New Roman" w:hAnsi="Arial" w:cs="Arial"/>
          <w:i/>
          <w:iCs/>
          <w:kern w:val="0"/>
          <w:sz w:val="24"/>
          <w:szCs w:val="24"/>
          <w:lang w:eastAsia="pt-BR"/>
          <w14:ligatures w14:val="none"/>
        </w:rPr>
        <w:t>site</w:t>
      </w:r>
      <w:r w:rsidRPr="003C02B4">
        <w:rPr>
          <w:rFonts w:ascii="Arial" w:eastAsia="Times New Roman" w:hAnsi="Arial" w:cs="Arial"/>
          <w:kern w:val="0"/>
          <w:sz w:val="24"/>
          <w:szCs w:val="24"/>
          <w:lang w:eastAsia="pt-BR"/>
          <w14:ligatures w14:val="none"/>
        </w:rPr>
        <w:t>).</w:t>
      </w:r>
    </w:p>
    <w:p w14:paraId="4AA46ED3" w14:textId="32363744" w:rsidR="00BE3318" w:rsidRPr="003C02B4" w:rsidRDefault="00BE3318" w:rsidP="006B19E6">
      <w:pPr>
        <w:numPr>
          <w:ilvl w:val="0"/>
          <w:numId w:val="34"/>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hAnsi="Arial" w:cs="Arial"/>
          <w:sz w:val="24"/>
          <w:szCs w:val="24"/>
        </w:rPr>
        <w:t>Certidão de Habite-se ou Auto de Conclusão, fornecido pela Prefeitura Municipal, referentes às obras de uso comum do condomínio;</w:t>
      </w:r>
    </w:p>
    <w:p w14:paraId="51508AE7" w14:textId="213C6CC5" w:rsidR="00BE3318" w:rsidRPr="003C02B4" w:rsidRDefault="00BE3318" w:rsidP="00CB5807">
      <w:pPr>
        <w:numPr>
          <w:ilvl w:val="0"/>
          <w:numId w:val="34"/>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hAnsi="Arial" w:cs="Arial"/>
          <w:sz w:val="24"/>
          <w:szCs w:val="24"/>
        </w:rPr>
        <w:t>Certidão Negativa de Débito de contribuições sociais incidentes sobre a obra (Receita Federal do Brasil).</w:t>
      </w:r>
    </w:p>
    <w:p w14:paraId="25281BF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Observações:</w:t>
      </w:r>
    </w:p>
    <w:p w14:paraId="0EC5878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Este memorial deve ser assinado por todos os proprietários </w:t>
      </w:r>
      <w:r w:rsidRPr="003C02B4">
        <w:rPr>
          <w:rFonts w:ascii="Arial" w:eastAsia="Times New Roman" w:hAnsi="Arial" w:cs="Arial"/>
          <w:i/>
          <w:iCs/>
          <w:kern w:val="0"/>
          <w:sz w:val="24"/>
          <w:szCs w:val="24"/>
          <w:lang w:eastAsia="pt-BR"/>
          <w14:ligatures w14:val="none"/>
        </w:rPr>
        <w:t>e pelo responsável técnico</w:t>
      </w:r>
      <w:r w:rsidRPr="003C02B4">
        <w:rPr>
          <w:rFonts w:ascii="Arial" w:eastAsia="Times New Roman" w:hAnsi="Arial" w:cs="Arial"/>
          <w:kern w:val="0"/>
          <w:sz w:val="24"/>
          <w:szCs w:val="24"/>
          <w:lang w:eastAsia="pt-BR"/>
          <w14:ligatures w14:val="none"/>
        </w:rPr>
        <w:t>.</w:t>
      </w:r>
    </w:p>
    <w:p w14:paraId="4AEE2E99" w14:textId="5D706A39"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Para agilizar o processo de conferência e registro, sugerimos enviar arquivo eletrônico contendo o memorial descritivo e a convenção de condomínio, em word, para o e-mail </w:t>
      </w:r>
      <w:hyperlink r:id="rId5" w:history="1">
        <w:r w:rsidR="00F96ACE" w:rsidRPr="00B535B4">
          <w:rPr>
            <w:rStyle w:val="Hyperlink"/>
            <w:rFonts w:ascii="Arial" w:eastAsia="Times New Roman" w:hAnsi="Arial" w:cs="Arial"/>
            <w:kern w:val="0"/>
            <w:sz w:val="24"/>
            <w:szCs w:val="24"/>
            <w:lang w:eastAsia="pt-BR"/>
            <w14:ligatures w14:val="none"/>
          </w:rPr>
          <w:t>cartoriova@gmail.com</w:t>
        </w:r>
      </w:hyperlink>
      <w:r w:rsidRPr="003C02B4">
        <w:rPr>
          <w:rFonts w:ascii="Arial" w:eastAsia="Times New Roman" w:hAnsi="Arial" w:cs="Arial"/>
          <w:kern w:val="0"/>
          <w:sz w:val="24"/>
          <w:szCs w:val="24"/>
          <w:lang w:eastAsia="pt-BR"/>
          <w14:ligatures w14:val="none"/>
        </w:rPr>
        <w:t>.</w:t>
      </w:r>
    </w:p>
    <w:p w14:paraId="2E7E7F85"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Sugerimos utilizar os modelos de descrição dos lotes abaixo relacionados, que contém todos os elementos previstos na legislação pertinente.</w:t>
      </w:r>
    </w:p>
    <w:p w14:paraId="45EEE649" w14:textId="27ADF4EA" w:rsidR="009A633C" w:rsidRPr="003C02B4" w:rsidRDefault="009A633C" w:rsidP="00BE3318">
      <w:pPr>
        <w:pStyle w:val="PargrafodaLista"/>
        <w:numPr>
          <w:ilvl w:val="0"/>
          <w:numId w:val="34"/>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Convenção de Condomínio elaborada de acordo com o disposto no art. 9º e seguintes da Lei nº 4.591/64 e art. 1333 a 1358 </w:t>
      </w:r>
      <w:proofErr w:type="spellStart"/>
      <w:r w:rsidRPr="003C02B4">
        <w:rPr>
          <w:rFonts w:ascii="Arial" w:eastAsia="Times New Roman" w:hAnsi="Arial" w:cs="Arial"/>
          <w:kern w:val="0"/>
          <w:sz w:val="24"/>
          <w:szCs w:val="24"/>
          <w:lang w:eastAsia="pt-BR"/>
          <w14:ligatures w14:val="none"/>
        </w:rPr>
        <w:t>NvCC</w:t>
      </w:r>
      <w:proofErr w:type="spellEnd"/>
      <w:r w:rsidRPr="003C02B4">
        <w:rPr>
          <w:rFonts w:ascii="Arial" w:eastAsia="Times New Roman" w:hAnsi="Arial" w:cs="Arial"/>
          <w:kern w:val="0"/>
          <w:sz w:val="24"/>
          <w:szCs w:val="24"/>
          <w:lang w:eastAsia="pt-BR"/>
          <w14:ligatures w14:val="none"/>
        </w:rPr>
        <w:t xml:space="preserve">, contendo a assinatura dos titulares de, no mínimo 2/3, das frações ideais, com as firmas reconhecidas (ver modelo </w:t>
      </w:r>
      <w:r w:rsidR="00BE3318" w:rsidRPr="003C02B4">
        <w:rPr>
          <w:rFonts w:ascii="Arial" w:eastAsia="Times New Roman" w:hAnsi="Arial" w:cs="Arial"/>
          <w:kern w:val="0"/>
          <w:sz w:val="24"/>
          <w:szCs w:val="24"/>
          <w:lang w:eastAsia="pt-BR"/>
          <w14:ligatures w14:val="none"/>
        </w:rPr>
        <w:t>no</w:t>
      </w:r>
      <w:r w:rsidR="00BE3318" w:rsidRPr="003C02B4">
        <w:rPr>
          <w:rFonts w:ascii="Arial" w:eastAsia="Times New Roman" w:hAnsi="Arial" w:cs="Arial"/>
          <w:i/>
          <w:iCs/>
          <w:kern w:val="0"/>
          <w:sz w:val="24"/>
          <w:szCs w:val="24"/>
          <w:lang w:eastAsia="pt-BR"/>
          <w14:ligatures w14:val="none"/>
        </w:rPr>
        <w:t xml:space="preserve"> site</w:t>
      </w:r>
      <w:r w:rsidRPr="003C02B4">
        <w:rPr>
          <w:rFonts w:ascii="Arial" w:eastAsia="Times New Roman" w:hAnsi="Arial" w:cs="Arial"/>
          <w:kern w:val="0"/>
          <w:sz w:val="24"/>
          <w:szCs w:val="24"/>
          <w:lang w:eastAsia="pt-BR"/>
          <w14:ligatures w14:val="none"/>
        </w:rPr>
        <w:t>).</w:t>
      </w:r>
    </w:p>
    <w:p w14:paraId="7905579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Observações:</w:t>
      </w:r>
    </w:p>
    <w:p w14:paraId="5CFED46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É muito importante constar, na convenção, dentre outras, informações quanto às sanções e aos quóruns previstos na legislação para as convocações e deliberações em assembleias. Para tal fim, sugerimos consultar em nosso </w:t>
      </w:r>
      <w:r w:rsidRPr="003C02B4">
        <w:rPr>
          <w:rFonts w:ascii="Arial" w:eastAsia="Times New Roman" w:hAnsi="Arial" w:cs="Arial"/>
          <w:i/>
          <w:iCs/>
          <w:kern w:val="0"/>
          <w:sz w:val="24"/>
          <w:szCs w:val="24"/>
          <w:lang w:eastAsia="pt-BR"/>
          <w14:ligatures w14:val="none"/>
        </w:rPr>
        <w:t>site</w:t>
      </w:r>
      <w:r w:rsidRPr="003C02B4">
        <w:rPr>
          <w:rFonts w:ascii="Arial" w:eastAsia="Times New Roman" w:hAnsi="Arial" w:cs="Arial"/>
          <w:kern w:val="0"/>
          <w:sz w:val="24"/>
          <w:szCs w:val="24"/>
          <w:lang w:eastAsia="pt-BR"/>
          <w14:ligatures w14:val="none"/>
        </w:rPr>
        <w:t> a relação dos “requisitos para registro da convenção de condomínio edilício”, onde consta, também, um resumo das sanções e quóruns que devem ser observados.</w:t>
      </w:r>
    </w:p>
    <w:p w14:paraId="3726B63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Sugerimos utilizar os modelos de descrição abaixo relacionados, que contém todos os elementos previstos na legislação pertinente, exceto quanto aos valores dos lotes, que não devem ser informados na convenção de condomínio, somente no memorial;</w:t>
      </w:r>
    </w:p>
    <w:p w14:paraId="6328B35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Modelo de descrição de lotes condominiais:</w:t>
      </w:r>
    </w:p>
    <w:p w14:paraId="2B760C1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 Muito importante constar, na descrição dos lotes, a </w:t>
      </w:r>
      <w:r w:rsidRPr="003C02B4">
        <w:rPr>
          <w:rFonts w:ascii="Arial" w:eastAsia="Times New Roman" w:hAnsi="Arial" w:cs="Arial"/>
          <w:i/>
          <w:iCs/>
          <w:kern w:val="0"/>
          <w:sz w:val="24"/>
          <w:szCs w:val="24"/>
          <w:lang w:eastAsia="pt-BR"/>
          <w14:ligatures w14:val="none"/>
        </w:rPr>
        <w:t>área real privativa, a área real de uso comum, a área real global,</w:t>
      </w:r>
      <w:r w:rsidRPr="003C02B4">
        <w:rPr>
          <w:rFonts w:ascii="Arial" w:eastAsia="Times New Roman" w:hAnsi="Arial" w:cs="Arial"/>
          <w:kern w:val="0"/>
          <w:sz w:val="24"/>
          <w:szCs w:val="24"/>
          <w:lang w:eastAsia="pt-BR"/>
          <w14:ligatures w14:val="none"/>
        </w:rPr>
        <w:t> a </w:t>
      </w:r>
      <w:r w:rsidRPr="003C02B4">
        <w:rPr>
          <w:rFonts w:ascii="Arial" w:eastAsia="Times New Roman" w:hAnsi="Arial" w:cs="Arial"/>
          <w:i/>
          <w:iCs/>
          <w:kern w:val="0"/>
          <w:sz w:val="24"/>
          <w:szCs w:val="24"/>
          <w:lang w:eastAsia="pt-BR"/>
          <w14:ligatures w14:val="none"/>
        </w:rPr>
        <w:t>fração ideal</w:t>
      </w:r>
      <w:r w:rsidRPr="003C02B4">
        <w:rPr>
          <w:rFonts w:ascii="Arial" w:eastAsia="Times New Roman" w:hAnsi="Arial" w:cs="Arial"/>
          <w:kern w:val="0"/>
          <w:sz w:val="24"/>
          <w:szCs w:val="24"/>
          <w:lang w:eastAsia="pt-BR"/>
          <w14:ligatures w14:val="none"/>
        </w:rPr>
        <w:t> (coeficiente de proporcionalidade) e o </w:t>
      </w:r>
      <w:r w:rsidRPr="003C02B4">
        <w:rPr>
          <w:rFonts w:ascii="Arial" w:eastAsia="Times New Roman" w:hAnsi="Arial" w:cs="Arial"/>
          <w:i/>
          <w:iCs/>
          <w:kern w:val="0"/>
          <w:sz w:val="24"/>
          <w:szCs w:val="24"/>
          <w:lang w:eastAsia="pt-BR"/>
          <w14:ligatures w14:val="none"/>
        </w:rPr>
        <w:t>fim</w:t>
      </w:r>
      <w:r w:rsidRPr="003C02B4">
        <w:rPr>
          <w:rFonts w:ascii="Arial" w:eastAsia="Times New Roman" w:hAnsi="Arial" w:cs="Arial"/>
          <w:kern w:val="0"/>
          <w:sz w:val="24"/>
          <w:szCs w:val="24"/>
          <w:lang w:eastAsia="pt-BR"/>
          <w14:ligatures w14:val="none"/>
        </w:rPr>
        <w:t> a que se destinam.</w:t>
      </w:r>
    </w:p>
    <w:p w14:paraId="6ABBB51C" w14:textId="586EF8E4"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LOTE CONDOMINIAL nº…, destinado para fins</w:t>
      </w:r>
      <w:r w:rsidRPr="003C02B4">
        <w:rPr>
          <w:rFonts w:ascii="Arial" w:eastAsia="Times New Roman" w:hAnsi="Arial" w:cs="Arial"/>
          <w:i/>
          <w:iCs/>
          <w:kern w:val="0"/>
          <w:sz w:val="24"/>
          <w:szCs w:val="24"/>
          <w:lang w:eastAsia="pt-BR"/>
          <w14:ligatures w14:val="none"/>
        </w:rPr>
        <w:t>…..(residenciais ou comerciais ou…),</w:t>
      </w:r>
      <w:r w:rsidRPr="003C02B4">
        <w:rPr>
          <w:rFonts w:ascii="Arial" w:eastAsia="Times New Roman" w:hAnsi="Arial" w:cs="Arial"/>
          <w:kern w:val="0"/>
          <w:sz w:val="24"/>
          <w:szCs w:val="24"/>
          <w:lang w:eastAsia="pt-BR"/>
          <w14:ligatures w14:val="none"/>
        </w:rPr>
        <w:t> com a área real privativa de ………m²(………….metros quadrados), área real de uso comum de…………m²(…………metros quadrados) e área real total de …………m²(…………….metros quadrados), (de forma irregular, se não se tratar de lote com medidas lineares), não edificado, situado no lado………da via interna do condomínio, de quem nela entra pela Rua………….., donde dista ………..m(………….. metros) </w:t>
      </w:r>
      <w:r w:rsidRPr="003C02B4">
        <w:rPr>
          <w:rFonts w:ascii="Arial" w:eastAsia="Times New Roman" w:hAnsi="Arial" w:cs="Arial"/>
          <w:i/>
          <w:iCs/>
          <w:kern w:val="0"/>
          <w:sz w:val="24"/>
          <w:szCs w:val="24"/>
          <w:lang w:eastAsia="pt-BR"/>
          <w14:ligatures w14:val="none"/>
        </w:rPr>
        <w:t>(ou com frente para a via pública);</w:t>
      </w:r>
      <w:r w:rsidRPr="003C02B4">
        <w:rPr>
          <w:rFonts w:ascii="Arial" w:eastAsia="Times New Roman" w:hAnsi="Arial" w:cs="Arial"/>
          <w:kern w:val="0"/>
          <w:sz w:val="24"/>
          <w:szCs w:val="24"/>
          <w:lang w:eastAsia="pt-BR"/>
          <w14:ligatures w14:val="none"/>
        </w:rPr>
        <w:t>confrontando-se ao norte, onde mede………m(………..metros), com……….; ao sul, onde mede …………..m(…………..metros), com…………; a leste, onde mede…………m(……….metros), com…………; e a oeste, onde mede ……….m(………..metros e…………centímetros), com………….; cabendo-lhe como fração ideal no terreno e nas demais coisas de uso comum o coeficiente de………..</w:t>
      </w:r>
      <w:r w:rsidR="009855E4" w:rsidRPr="003C02B4">
        <w:rPr>
          <w:rFonts w:ascii="Arial" w:eastAsia="Times New Roman" w:hAnsi="Arial" w:cs="Arial"/>
          <w:kern w:val="0"/>
          <w:sz w:val="24"/>
          <w:szCs w:val="24"/>
          <w:lang w:eastAsia="pt-BR"/>
          <w14:ligatures w14:val="none"/>
        </w:rPr>
        <w:t>, fixado com base no critério ???</w:t>
      </w:r>
      <w:r w:rsidRPr="003C02B4">
        <w:rPr>
          <w:rFonts w:ascii="Arial" w:eastAsia="Times New Roman" w:hAnsi="Arial" w:cs="Arial"/>
          <w:kern w:val="0"/>
          <w:sz w:val="24"/>
          <w:szCs w:val="24"/>
          <w:lang w:eastAsia="pt-BR"/>
          <w14:ligatures w14:val="none"/>
        </w:rPr>
        <w:t>; integrante do condomínio…………., implantado sobre o terreno matriculado sob nº ??? (descrição da gleba toda sobre a qual se assenta o condomínio), no valor de R$ …………</w:t>
      </w:r>
      <w:proofErr w:type="gramStart"/>
      <w:r w:rsidRPr="003C02B4">
        <w:rPr>
          <w:rFonts w:ascii="Arial" w:eastAsia="Times New Roman" w:hAnsi="Arial" w:cs="Arial"/>
          <w:kern w:val="0"/>
          <w:sz w:val="24"/>
          <w:szCs w:val="24"/>
          <w:lang w:eastAsia="pt-BR"/>
          <w14:ligatures w14:val="none"/>
        </w:rPr>
        <w:t>…..</w:t>
      </w:r>
      <w:proofErr w:type="gramEnd"/>
      <w:r w:rsidRPr="003C02B4">
        <w:rPr>
          <w:rFonts w:ascii="Arial" w:eastAsia="Times New Roman" w:hAnsi="Arial" w:cs="Arial"/>
          <w:kern w:val="0"/>
          <w:sz w:val="24"/>
          <w:szCs w:val="24"/>
          <w:lang w:eastAsia="pt-BR"/>
          <w14:ligatures w14:val="none"/>
        </w:rPr>
        <w:t>  (este valor deve ser o mesmo que constar no Quadro IV da NBR).</w:t>
      </w:r>
    </w:p>
    <w:p w14:paraId="3E1FE7B0" w14:textId="3E3B609A" w:rsidR="009A633C" w:rsidRPr="003C02B4" w:rsidRDefault="009A633C" w:rsidP="002F09BD">
      <w:pPr>
        <w:pStyle w:val="PargrafodaLista"/>
        <w:numPr>
          <w:ilvl w:val="0"/>
          <w:numId w:val="34"/>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Quadros da NBR 12.721 atualizados à data do arquivamento ou, no máximo, nos trinta dias anteriores ao protocolo, firmados pelo proprietário ou incorporador e pelo responsável técnico, acompanhados da respectiva ART ou RRT, com as firmas reconhecidas (art. 32, h, da Lei nº 4.591/64).</w:t>
      </w:r>
    </w:p>
    <w:p w14:paraId="69080FB8"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i/>
          <w:iCs/>
          <w:kern w:val="0"/>
          <w:sz w:val="24"/>
          <w:szCs w:val="24"/>
          <w:lang w:eastAsia="pt-BR"/>
          <w14:ligatures w14:val="none"/>
        </w:rPr>
        <w:t>Observações:</w:t>
      </w:r>
    </w:p>
    <w:p w14:paraId="754FFC4D"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Fica dispensada a apresentação destes quadros se todas as informações referentes às descrições dos lotes constarem corretamente no memorial descritivo, conforme modelos de descrições sugeridos acima e o memorial estiver subscrito pelos proprietários </w:t>
      </w:r>
      <w:r w:rsidRPr="003C02B4">
        <w:rPr>
          <w:rFonts w:ascii="Arial" w:eastAsia="Times New Roman" w:hAnsi="Arial" w:cs="Arial"/>
          <w:i/>
          <w:iCs/>
          <w:kern w:val="0"/>
          <w:sz w:val="24"/>
          <w:szCs w:val="24"/>
          <w:lang w:eastAsia="pt-BR"/>
          <w14:ligatures w14:val="none"/>
        </w:rPr>
        <w:t>e pelo responsável técnico</w:t>
      </w:r>
      <w:r w:rsidRPr="003C02B4">
        <w:rPr>
          <w:rFonts w:ascii="Arial" w:eastAsia="Times New Roman" w:hAnsi="Arial" w:cs="Arial"/>
          <w:kern w:val="0"/>
          <w:sz w:val="24"/>
          <w:szCs w:val="24"/>
          <w:lang w:eastAsia="pt-BR"/>
          <w14:ligatures w14:val="none"/>
        </w:rPr>
        <w:t>, com as firmas reconhecidas, acompanhado da respectiva ART ou RRT referente aos cálculos da NBR 12.721.</w:t>
      </w:r>
    </w:p>
    <w:p w14:paraId="188F1CD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OBSERVAÇÕES IMPORTANTES:</w:t>
      </w:r>
    </w:p>
    <w:p w14:paraId="4552628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Em todos os instrumentos particulares devem ser reconhecidas as firmas e todos os demais documentos juntados devem ser apresentados em formato original ou cópia autenticada.</w:t>
      </w:r>
    </w:p>
    <w:p w14:paraId="0499FF7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Se o proprietário for </w:t>
      </w:r>
      <w:r w:rsidRPr="003C02B4">
        <w:rPr>
          <w:rFonts w:ascii="Arial" w:eastAsia="Times New Roman" w:hAnsi="Arial" w:cs="Arial"/>
          <w:i/>
          <w:iCs/>
          <w:kern w:val="0"/>
          <w:sz w:val="24"/>
          <w:szCs w:val="24"/>
          <w:lang w:eastAsia="pt-BR"/>
          <w14:ligatures w14:val="none"/>
        </w:rPr>
        <w:t>pessoa jurídica,</w:t>
      </w:r>
      <w:r w:rsidRPr="003C02B4">
        <w:rPr>
          <w:rFonts w:ascii="Arial" w:eastAsia="Times New Roman" w:hAnsi="Arial" w:cs="Arial"/>
          <w:kern w:val="0"/>
          <w:sz w:val="24"/>
          <w:szCs w:val="24"/>
          <w:lang w:eastAsia="pt-BR"/>
          <w14:ligatures w14:val="none"/>
        </w:rPr>
        <w:t> necessário apresentar cópia autenticada do </w:t>
      </w:r>
      <w:r w:rsidRPr="003C02B4">
        <w:rPr>
          <w:rFonts w:ascii="Arial" w:eastAsia="Times New Roman" w:hAnsi="Arial" w:cs="Arial"/>
          <w:i/>
          <w:iCs/>
          <w:kern w:val="0"/>
          <w:sz w:val="24"/>
          <w:szCs w:val="24"/>
          <w:lang w:eastAsia="pt-BR"/>
          <w14:ligatures w14:val="none"/>
        </w:rPr>
        <w:t>ato constitutivo arquivado na Junta Comercial</w:t>
      </w:r>
      <w:r w:rsidRPr="003C02B4">
        <w:rPr>
          <w:rFonts w:ascii="Arial" w:eastAsia="Times New Roman" w:hAnsi="Arial" w:cs="Arial"/>
          <w:kern w:val="0"/>
          <w:sz w:val="24"/>
          <w:szCs w:val="24"/>
          <w:lang w:eastAsia="pt-BR"/>
          <w14:ligatures w14:val="none"/>
        </w:rPr>
        <w:t xml:space="preserve">, que comprove os poderes de representação do </w:t>
      </w:r>
      <w:proofErr w:type="spellStart"/>
      <w:r w:rsidRPr="003C02B4">
        <w:rPr>
          <w:rFonts w:ascii="Arial" w:eastAsia="Times New Roman" w:hAnsi="Arial" w:cs="Arial"/>
          <w:kern w:val="0"/>
          <w:sz w:val="24"/>
          <w:szCs w:val="24"/>
          <w:lang w:eastAsia="pt-BR"/>
          <w14:ligatures w14:val="none"/>
        </w:rPr>
        <w:t>firmatário</w:t>
      </w:r>
      <w:proofErr w:type="spellEnd"/>
      <w:r w:rsidRPr="003C02B4">
        <w:rPr>
          <w:rFonts w:ascii="Arial" w:eastAsia="Times New Roman" w:hAnsi="Arial" w:cs="Arial"/>
          <w:kern w:val="0"/>
          <w:sz w:val="24"/>
          <w:szCs w:val="24"/>
          <w:lang w:eastAsia="pt-BR"/>
          <w14:ligatures w14:val="none"/>
        </w:rPr>
        <w:t xml:space="preserve"> e, também, </w:t>
      </w:r>
      <w:r w:rsidRPr="003C02B4">
        <w:rPr>
          <w:rFonts w:ascii="Arial" w:eastAsia="Times New Roman" w:hAnsi="Arial" w:cs="Arial"/>
          <w:i/>
          <w:iCs/>
          <w:kern w:val="0"/>
          <w:sz w:val="24"/>
          <w:szCs w:val="24"/>
          <w:lang w:eastAsia="pt-BR"/>
          <w14:ligatures w14:val="none"/>
        </w:rPr>
        <w:t>certidão negativa da Receita Federal</w:t>
      </w:r>
      <w:r w:rsidRPr="003C02B4">
        <w:rPr>
          <w:rFonts w:ascii="Arial" w:eastAsia="Times New Roman" w:hAnsi="Arial" w:cs="Arial"/>
          <w:kern w:val="0"/>
          <w:sz w:val="24"/>
          <w:szCs w:val="24"/>
          <w:lang w:eastAsia="pt-BR"/>
          <w14:ligatures w14:val="none"/>
        </w:rPr>
        <w:t> da empresa proprietária.</w:t>
      </w:r>
    </w:p>
    <w:p w14:paraId="22EAB48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 Licença de instalação expedida pela FEPAM, para áreas com mais de 50.000,00m² ou DEMA, para áreas até 50.000,00m², por se tratar de parcelamento do solo, mesmo que de fato (Resolução do CONAMA nº 237).</w:t>
      </w:r>
    </w:p>
    <w:p w14:paraId="211C644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Cópia da lei específica que autorizou o empreendimento.</w:t>
      </w:r>
    </w:p>
    <w:p w14:paraId="593FCB5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Se houver débitos tributários e não for possível a apresentação da negativa de débitos, admite-se a </w:t>
      </w:r>
      <w:r w:rsidRPr="003C02B4">
        <w:rPr>
          <w:rFonts w:ascii="Arial" w:eastAsia="Times New Roman" w:hAnsi="Arial" w:cs="Arial"/>
          <w:i/>
          <w:iCs/>
          <w:kern w:val="0"/>
          <w:sz w:val="24"/>
          <w:szCs w:val="24"/>
          <w:lang w:eastAsia="pt-BR"/>
          <w14:ligatures w14:val="none"/>
        </w:rPr>
        <w:t>positiva com efeitos de negativa</w:t>
      </w:r>
      <w:r w:rsidRPr="003C02B4">
        <w:rPr>
          <w:rFonts w:ascii="Arial" w:eastAsia="Times New Roman" w:hAnsi="Arial" w:cs="Arial"/>
          <w:kern w:val="0"/>
          <w:sz w:val="24"/>
          <w:szCs w:val="24"/>
          <w:lang w:eastAsia="pt-BR"/>
          <w14:ligatures w14:val="none"/>
        </w:rPr>
        <w:t> (Art. 206, CTN).</w:t>
      </w:r>
    </w:p>
    <w:p w14:paraId="28FF5F21" w14:textId="1E0772C9" w:rsidR="009A633C" w:rsidRPr="003C02B4" w:rsidRDefault="009A633C" w:rsidP="00C174A4">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Será de 90 (noventa) dias o prazo de validade das certidões, salvo se outro prazo constar expressamente do documento, segundo norma adotada pelo órgão expedido, exceto as fiscais, que serão por exercício (Art. 768, § 3º, CNNR).</w:t>
      </w:r>
    </w:p>
    <w:p w14:paraId="7B5E6116" w14:textId="44B18613" w:rsidR="009A633C" w:rsidRPr="007F59E7" w:rsidRDefault="009A633C" w:rsidP="00352828">
      <w:pPr>
        <w:jc w:val="both"/>
        <w:rPr>
          <w:rFonts w:ascii="Arial" w:eastAsia="Times New Roman" w:hAnsi="Arial" w:cs="Arial"/>
          <w:kern w:val="0"/>
          <w:sz w:val="24"/>
          <w:szCs w:val="24"/>
          <w:lang w:eastAsia="pt-BR"/>
          <w14:ligatures w14:val="none"/>
        </w:rPr>
      </w:pPr>
    </w:p>
    <w:sectPr w:rsidR="009A633C" w:rsidRPr="007F59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3451EA6"/>
    <w:multiLevelType w:val="multilevel"/>
    <w:tmpl w:val="E52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52397"/>
    <w:multiLevelType w:val="multilevel"/>
    <w:tmpl w:val="3488A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B2881"/>
    <w:multiLevelType w:val="multilevel"/>
    <w:tmpl w:val="48D6CF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E4C40"/>
    <w:multiLevelType w:val="multilevel"/>
    <w:tmpl w:val="CFEA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A58EB"/>
    <w:multiLevelType w:val="multilevel"/>
    <w:tmpl w:val="FA1490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BD46A7"/>
    <w:multiLevelType w:val="multilevel"/>
    <w:tmpl w:val="71AEB0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E20C43"/>
    <w:multiLevelType w:val="multilevel"/>
    <w:tmpl w:val="4E7EC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06274"/>
    <w:multiLevelType w:val="multilevel"/>
    <w:tmpl w:val="A7BEB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012B3"/>
    <w:multiLevelType w:val="multilevel"/>
    <w:tmpl w:val="01DE1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23BEE"/>
    <w:multiLevelType w:val="multilevel"/>
    <w:tmpl w:val="CFD24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E5F52"/>
    <w:multiLevelType w:val="multilevel"/>
    <w:tmpl w:val="0E6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C3BA6"/>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963257"/>
    <w:multiLevelType w:val="multilevel"/>
    <w:tmpl w:val="F1C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31322"/>
    <w:multiLevelType w:val="multilevel"/>
    <w:tmpl w:val="856C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31B5C"/>
    <w:multiLevelType w:val="multilevel"/>
    <w:tmpl w:val="93165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E57A55"/>
    <w:multiLevelType w:val="multilevel"/>
    <w:tmpl w:val="C35AC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DC578C"/>
    <w:multiLevelType w:val="multilevel"/>
    <w:tmpl w:val="C736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D56221"/>
    <w:multiLevelType w:val="multilevel"/>
    <w:tmpl w:val="9B581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84B7A"/>
    <w:multiLevelType w:val="multilevel"/>
    <w:tmpl w:val="883290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C46FEC"/>
    <w:multiLevelType w:val="multilevel"/>
    <w:tmpl w:val="E0BC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80F1B"/>
    <w:multiLevelType w:val="multilevel"/>
    <w:tmpl w:val="894CB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556321"/>
    <w:multiLevelType w:val="multilevel"/>
    <w:tmpl w:val="7532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942769"/>
    <w:multiLevelType w:val="multilevel"/>
    <w:tmpl w:val="331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86B54"/>
    <w:multiLevelType w:val="multilevel"/>
    <w:tmpl w:val="6BE0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C0D75"/>
    <w:multiLevelType w:val="multilevel"/>
    <w:tmpl w:val="0ADAB3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5B605D"/>
    <w:multiLevelType w:val="multilevel"/>
    <w:tmpl w:val="22F2E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B4513"/>
    <w:multiLevelType w:val="multilevel"/>
    <w:tmpl w:val="5620A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BF7C91"/>
    <w:multiLevelType w:val="multilevel"/>
    <w:tmpl w:val="57AA8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786790"/>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E82F7A"/>
    <w:multiLevelType w:val="multilevel"/>
    <w:tmpl w:val="51EAD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937E0B"/>
    <w:multiLevelType w:val="multilevel"/>
    <w:tmpl w:val="980A5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B7334F"/>
    <w:multiLevelType w:val="multilevel"/>
    <w:tmpl w:val="5032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BC402B"/>
    <w:multiLevelType w:val="multilevel"/>
    <w:tmpl w:val="E1FC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1948F1"/>
    <w:multiLevelType w:val="multilevel"/>
    <w:tmpl w:val="267E3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215215">
    <w:abstractNumId w:val="33"/>
  </w:num>
  <w:num w:numId="2" w16cid:durableId="1229271104">
    <w:abstractNumId w:val="16"/>
  </w:num>
  <w:num w:numId="3" w16cid:durableId="1234774015">
    <w:abstractNumId w:val="31"/>
  </w:num>
  <w:num w:numId="4" w16cid:durableId="452093054">
    <w:abstractNumId w:val="19"/>
  </w:num>
  <w:num w:numId="5" w16cid:durableId="1870490603">
    <w:abstractNumId w:val="5"/>
  </w:num>
  <w:num w:numId="6" w16cid:durableId="1430617835">
    <w:abstractNumId w:val="6"/>
  </w:num>
  <w:num w:numId="7" w16cid:durableId="1171263636">
    <w:abstractNumId w:val="34"/>
  </w:num>
  <w:num w:numId="8" w16cid:durableId="1488935072">
    <w:abstractNumId w:val="17"/>
  </w:num>
  <w:num w:numId="9" w16cid:durableId="1071468840">
    <w:abstractNumId w:val="10"/>
  </w:num>
  <w:num w:numId="10" w16cid:durableId="896280312">
    <w:abstractNumId w:val="25"/>
  </w:num>
  <w:num w:numId="11" w16cid:durableId="1098215801">
    <w:abstractNumId w:val="3"/>
  </w:num>
  <w:num w:numId="12" w16cid:durableId="1892502170">
    <w:abstractNumId w:val="1"/>
  </w:num>
  <w:num w:numId="13" w16cid:durableId="1125394171">
    <w:abstractNumId w:val="28"/>
  </w:num>
  <w:num w:numId="14" w16cid:durableId="378743186">
    <w:abstractNumId w:val="22"/>
  </w:num>
  <w:num w:numId="15" w16cid:durableId="248196706">
    <w:abstractNumId w:val="2"/>
  </w:num>
  <w:num w:numId="16" w16cid:durableId="767971573">
    <w:abstractNumId w:val="29"/>
  </w:num>
  <w:num w:numId="17" w16cid:durableId="2087416807">
    <w:abstractNumId w:val="9"/>
  </w:num>
  <w:num w:numId="18" w16cid:durableId="1165508412">
    <w:abstractNumId w:val="21"/>
  </w:num>
  <w:num w:numId="19" w16cid:durableId="1830516533">
    <w:abstractNumId w:val="32"/>
  </w:num>
  <w:num w:numId="20" w16cid:durableId="1819423248">
    <w:abstractNumId w:val="18"/>
  </w:num>
  <w:num w:numId="21" w16cid:durableId="1181430061">
    <w:abstractNumId w:val="27"/>
  </w:num>
  <w:num w:numId="22" w16cid:durableId="1310743014">
    <w:abstractNumId w:val="26"/>
  </w:num>
  <w:num w:numId="23" w16cid:durableId="669065542">
    <w:abstractNumId w:val="15"/>
  </w:num>
  <w:num w:numId="24" w16cid:durableId="2076009554">
    <w:abstractNumId w:val="20"/>
  </w:num>
  <w:num w:numId="25" w16cid:durableId="1885867416">
    <w:abstractNumId w:val="14"/>
  </w:num>
  <w:num w:numId="26" w16cid:durableId="982350440">
    <w:abstractNumId w:val="24"/>
  </w:num>
  <w:num w:numId="27" w16cid:durableId="1242369050">
    <w:abstractNumId w:val="11"/>
  </w:num>
  <w:num w:numId="28" w16cid:durableId="2029257609">
    <w:abstractNumId w:val="13"/>
  </w:num>
  <w:num w:numId="29" w16cid:durableId="1445930026">
    <w:abstractNumId w:val="23"/>
  </w:num>
  <w:num w:numId="30" w16cid:durableId="507908946">
    <w:abstractNumId w:val="4"/>
  </w:num>
  <w:num w:numId="31" w16cid:durableId="1439179752">
    <w:abstractNumId w:val="30"/>
  </w:num>
  <w:num w:numId="32" w16cid:durableId="829103788">
    <w:abstractNumId w:val="8"/>
  </w:num>
  <w:num w:numId="33" w16cid:durableId="1925993208">
    <w:abstractNumId w:val="7"/>
  </w:num>
  <w:num w:numId="34" w16cid:durableId="506211661">
    <w:abstractNumId w:val="12"/>
  </w:num>
  <w:num w:numId="35" w16cid:durableId="192776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37"/>
    <w:rsid w:val="00033F97"/>
    <w:rsid w:val="00085DEC"/>
    <w:rsid w:val="000D0EF6"/>
    <w:rsid w:val="000D3CC5"/>
    <w:rsid w:val="00194C2C"/>
    <w:rsid w:val="001B0ED7"/>
    <w:rsid w:val="00255D22"/>
    <w:rsid w:val="002B7406"/>
    <w:rsid w:val="002F09BD"/>
    <w:rsid w:val="00352828"/>
    <w:rsid w:val="003C02B4"/>
    <w:rsid w:val="003F4C88"/>
    <w:rsid w:val="00414006"/>
    <w:rsid w:val="00414EBD"/>
    <w:rsid w:val="00514059"/>
    <w:rsid w:val="005372E1"/>
    <w:rsid w:val="005563CB"/>
    <w:rsid w:val="00593046"/>
    <w:rsid w:val="00597B23"/>
    <w:rsid w:val="006E722E"/>
    <w:rsid w:val="007F59E7"/>
    <w:rsid w:val="00816D40"/>
    <w:rsid w:val="00861D63"/>
    <w:rsid w:val="00954E02"/>
    <w:rsid w:val="009855E4"/>
    <w:rsid w:val="009950C7"/>
    <w:rsid w:val="009A633C"/>
    <w:rsid w:val="009F20AE"/>
    <w:rsid w:val="00A14D17"/>
    <w:rsid w:val="00AB3970"/>
    <w:rsid w:val="00B32292"/>
    <w:rsid w:val="00B846E1"/>
    <w:rsid w:val="00B97637"/>
    <w:rsid w:val="00BE3318"/>
    <w:rsid w:val="00C174A4"/>
    <w:rsid w:val="00C31E4D"/>
    <w:rsid w:val="00C61859"/>
    <w:rsid w:val="00C75D7F"/>
    <w:rsid w:val="00D22184"/>
    <w:rsid w:val="00DC7422"/>
    <w:rsid w:val="00E559D8"/>
    <w:rsid w:val="00EF2B28"/>
    <w:rsid w:val="00F378BB"/>
    <w:rsid w:val="00F75369"/>
    <w:rsid w:val="00F917B4"/>
    <w:rsid w:val="00F96ACE"/>
    <w:rsid w:val="00FE4F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306B"/>
  <w15:chartTrackingRefBased/>
  <w15:docId w15:val="{F8D554BA-C3BB-4FAF-9CE8-FF8BB860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western">
    <w:name w:val="western"/>
    <w:basedOn w:val="Normal"/>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E559D8"/>
    <w:rPr>
      <w:b/>
      <w:bCs/>
    </w:rPr>
  </w:style>
  <w:style w:type="character" w:styleId="nfase">
    <w:name w:val="Emphasis"/>
    <w:basedOn w:val="Fontepargpadro"/>
    <w:uiPriority w:val="20"/>
    <w:qFormat/>
    <w:rsid w:val="00E559D8"/>
    <w:rPr>
      <w:i/>
      <w:iCs/>
    </w:rPr>
  </w:style>
  <w:style w:type="character" w:styleId="Hyperlink">
    <w:name w:val="Hyperlink"/>
    <w:basedOn w:val="Fontepargpadro"/>
    <w:uiPriority w:val="99"/>
    <w:unhideWhenUsed/>
    <w:rsid w:val="00E559D8"/>
    <w:rPr>
      <w:color w:val="0000FF"/>
      <w:u w:val="single"/>
    </w:rPr>
  </w:style>
  <w:style w:type="character" w:styleId="MenoPendente">
    <w:name w:val="Unresolved Mention"/>
    <w:basedOn w:val="Fontepargpadro"/>
    <w:uiPriority w:val="99"/>
    <w:semiHidden/>
    <w:unhideWhenUsed/>
    <w:rsid w:val="00861D63"/>
    <w:rPr>
      <w:color w:val="605E5C"/>
      <w:shd w:val="clear" w:color="auto" w:fill="E1DFDD"/>
    </w:rPr>
  </w:style>
  <w:style w:type="paragraph" w:styleId="PargrafodaLista">
    <w:name w:val="List Paragraph"/>
    <w:basedOn w:val="Normal"/>
    <w:uiPriority w:val="34"/>
    <w:qFormat/>
    <w:rsid w:val="00BE3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932016">
      <w:bodyDiv w:val="1"/>
      <w:marLeft w:val="0"/>
      <w:marRight w:val="0"/>
      <w:marTop w:val="0"/>
      <w:marBottom w:val="0"/>
      <w:divBdr>
        <w:top w:val="none" w:sz="0" w:space="0" w:color="auto"/>
        <w:left w:val="none" w:sz="0" w:space="0" w:color="auto"/>
        <w:bottom w:val="none" w:sz="0" w:space="0" w:color="auto"/>
        <w:right w:val="none" w:sz="0" w:space="0" w:color="auto"/>
      </w:divBdr>
    </w:div>
    <w:div w:id="781460721">
      <w:bodyDiv w:val="1"/>
      <w:marLeft w:val="0"/>
      <w:marRight w:val="0"/>
      <w:marTop w:val="0"/>
      <w:marBottom w:val="0"/>
      <w:divBdr>
        <w:top w:val="none" w:sz="0" w:space="0" w:color="auto"/>
        <w:left w:val="none" w:sz="0" w:space="0" w:color="auto"/>
        <w:bottom w:val="none" w:sz="0" w:space="0" w:color="auto"/>
        <w:right w:val="none" w:sz="0" w:space="0" w:color="auto"/>
      </w:divBdr>
    </w:div>
    <w:div w:id="788208150">
      <w:bodyDiv w:val="1"/>
      <w:marLeft w:val="0"/>
      <w:marRight w:val="0"/>
      <w:marTop w:val="0"/>
      <w:marBottom w:val="0"/>
      <w:divBdr>
        <w:top w:val="none" w:sz="0" w:space="0" w:color="auto"/>
        <w:left w:val="none" w:sz="0" w:space="0" w:color="auto"/>
        <w:bottom w:val="none" w:sz="0" w:space="0" w:color="auto"/>
        <w:right w:val="none" w:sz="0" w:space="0" w:color="auto"/>
      </w:divBdr>
    </w:div>
    <w:div w:id="1097944820">
      <w:bodyDiv w:val="1"/>
      <w:marLeft w:val="0"/>
      <w:marRight w:val="0"/>
      <w:marTop w:val="0"/>
      <w:marBottom w:val="0"/>
      <w:divBdr>
        <w:top w:val="none" w:sz="0" w:space="0" w:color="auto"/>
        <w:left w:val="none" w:sz="0" w:space="0" w:color="auto"/>
        <w:bottom w:val="none" w:sz="0" w:space="0" w:color="auto"/>
        <w:right w:val="none" w:sz="0" w:space="0" w:color="auto"/>
      </w:divBdr>
    </w:div>
    <w:div w:id="1182864079">
      <w:bodyDiv w:val="1"/>
      <w:marLeft w:val="0"/>
      <w:marRight w:val="0"/>
      <w:marTop w:val="0"/>
      <w:marBottom w:val="0"/>
      <w:divBdr>
        <w:top w:val="none" w:sz="0" w:space="0" w:color="auto"/>
        <w:left w:val="none" w:sz="0" w:space="0" w:color="auto"/>
        <w:bottom w:val="none" w:sz="0" w:space="0" w:color="auto"/>
        <w:right w:val="none" w:sz="0" w:space="0" w:color="auto"/>
      </w:divBdr>
    </w:div>
    <w:div w:id="1276597544">
      <w:bodyDiv w:val="1"/>
      <w:marLeft w:val="0"/>
      <w:marRight w:val="0"/>
      <w:marTop w:val="0"/>
      <w:marBottom w:val="0"/>
      <w:divBdr>
        <w:top w:val="none" w:sz="0" w:space="0" w:color="auto"/>
        <w:left w:val="none" w:sz="0" w:space="0" w:color="auto"/>
        <w:bottom w:val="none" w:sz="0" w:space="0" w:color="auto"/>
        <w:right w:val="none" w:sz="0" w:space="0" w:color="auto"/>
      </w:divBdr>
    </w:div>
    <w:div w:id="1320303414">
      <w:bodyDiv w:val="1"/>
      <w:marLeft w:val="0"/>
      <w:marRight w:val="0"/>
      <w:marTop w:val="0"/>
      <w:marBottom w:val="0"/>
      <w:divBdr>
        <w:top w:val="none" w:sz="0" w:space="0" w:color="auto"/>
        <w:left w:val="none" w:sz="0" w:space="0" w:color="auto"/>
        <w:bottom w:val="none" w:sz="0" w:space="0" w:color="auto"/>
        <w:right w:val="none" w:sz="0" w:space="0" w:color="auto"/>
      </w:divBdr>
    </w:div>
    <w:div w:id="1516267598">
      <w:bodyDiv w:val="1"/>
      <w:marLeft w:val="0"/>
      <w:marRight w:val="0"/>
      <w:marTop w:val="0"/>
      <w:marBottom w:val="0"/>
      <w:divBdr>
        <w:top w:val="none" w:sz="0" w:space="0" w:color="auto"/>
        <w:left w:val="none" w:sz="0" w:space="0" w:color="auto"/>
        <w:bottom w:val="none" w:sz="0" w:space="0" w:color="auto"/>
        <w:right w:val="none" w:sz="0" w:space="0" w:color="auto"/>
      </w:divBdr>
    </w:div>
    <w:div w:id="1576669162">
      <w:bodyDiv w:val="1"/>
      <w:marLeft w:val="0"/>
      <w:marRight w:val="0"/>
      <w:marTop w:val="0"/>
      <w:marBottom w:val="0"/>
      <w:divBdr>
        <w:top w:val="none" w:sz="0" w:space="0" w:color="auto"/>
        <w:left w:val="none" w:sz="0" w:space="0" w:color="auto"/>
        <w:bottom w:val="none" w:sz="0" w:space="0" w:color="auto"/>
        <w:right w:val="none" w:sz="0" w:space="0" w:color="auto"/>
      </w:divBdr>
    </w:div>
    <w:div w:id="1608269180">
      <w:bodyDiv w:val="1"/>
      <w:marLeft w:val="0"/>
      <w:marRight w:val="0"/>
      <w:marTop w:val="0"/>
      <w:marBottom w:val="0"/>
      <w:divBdr>
        <w:top w:val="none" w:sz="0" w:space="0" w:color="auto"/>
        <w:left w:val="none" w:sz="0" w:space="0" w:color="auto"/>
        <w:bottom w:val="none" w:sz="0" w:space="0" w:color="auto"/>
        <w:right w:val="none" w:sz="0" w:space="0" w:color="auto"/>
      </w:divBdr>
    </w:div>
    <w:div w:id="1625430218">
      <w:bodyDiv w:val="1"/>
      <w:marLeft w:val="0"/>
      <w:marRight w:val="0"/>
      <w:marTop w:val="0"/>
      <w:marBottom w:val="0"/>
      <w:divBdr>
        <w:top w:val="none" w:sz="0" w:space="0" w:color="auto"/>
        <w:left w:val="none" w:sz="0" w:space="0" w:color="auto"/>
        <w:bottom w:val="none" w:sz="0" w:space="0" w:color="auto"/>
        <w:right w:val="none" w:sz="0" w:space="0" w:color="auto"/>
      </w:divBdr>
    </w:div>
    <w:div w:id="17685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toriov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1266</Words>
  <Characters>6841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WESCHENFELDER</dc:creator>
  <cp:keywords/>
  <dc:description/>
  <cp:lastModifiedBy>Julio.Cesar Weschenfelder</cp:lastModifiedBy>
  <cp:revision>3</cp:revision>
  <dcterms:created xsi:type="dcterms:W3CDTF">2023-03-20T12:40:00Z</dcterms:created>
  <dcterms:modified xsi:type="dcterms:W3CDTF">2024-06-17T17:41:00Z</dcterms:modified>
</cp:coreProperties>
</file>